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Default="00C8206F" w:rsidP="00C8206F">
      <w:pPr>
        <w:spacing w:after="0"/>
      </w:pPr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C8206F" w:rsidRDefault="004B3C7D" w:rsidP="00C8206F">
      <w:pPr>
        <w:spacing w:after="0"/>
      </w:pPr>
      <w:r>
        <w:t>Brame</w:t>
      </w:r>
      <w:r w:rsidR="00C8206F">
        <w:t xml:space="preserve"> Vanguard TX History </w:t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</w:r>
      <w:r w:rsidR="00C8206F">
        <w:tab/>
        <w:t>Period: __________________</w:t>
      </w:r>
    </w:p>
    <w:p w:rsidR="00C8206F" w:rsidRDefault="00C8206F" w:rsidP="00C8206F">
      <w:pPr>
        <w:spacing w:after="0"/>
      </w:pPr>
    </w:p>
    <w:p w:rsidR="00C8206F" w:rsidRPr="004B3C7D" w:rsidRDefault="00C8206F" w:rsidP="00C8206F">
      <w:pPr>
        <w:spacing w:after="0"/>
        <w:jc w:val="center"/>
        <w:rPr>
          <w:b/>
          <w:sz w:val="28"/>
          <w:szCs w:val="28"/>
        </w:rPr>
      </w:pPr>
      <w:r w:rsidRPr="004B3C7D">
        <w:rPr>
          <w:b/>
          <w:sz w:val="28"/>
          <w:szCs w:val="28"/>
        </w:rPr>
        <w:t>Houston, Capital of the Republic of Texas ESPN Chart</w:t>
      </w:r>
      <w:bookmarkStart w:id="0" w:name="_GoBack"/>
      <w:bookmarkEnd w:id="0"/>
    </w:p>
    <w:tbl>
      <w:tblPr>
        <w:tblpPr w:leftFromText="180" w:rightFromText="180" w:vertAnchor="page" w:horzAnchor="margin" w:tblpXSpec="center" w:tblpY="2626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3600"/>
        <w:gridCol w:w="3600"/>
        <w:gridCol w:w="3600"/>
      </w:tblGrid>
      <w:tr w:rsidR="00C8206F" w:rsidRPr="00C8206F" w:rsidTr="004B3C7D">
        <w:trPr>
          <w:trHeight w:val="358"/>
        </w:trPr>
        <w:tc>
          <w:tcPr>
            <w:tcW w:w="3600" w:type="dxa"/>
            <w:tcBorders>
              <w:top w:val="single" w:sz="8" w:space="0" w:color="EEEEEE"/>
              <w:left w:val="single" w:sz="8" w:space="0" w:color="EEEEEE"/>
              <w:bottom w:val="single" w:sz="24" w:space="0" w:color="EEEEEE"/>
              <w:right w:val="single" w:sz="8" w:space="0" w:color="EEEEEE"/>
            </w:tcBorders>
            <w:shd w:val="clear" w:color="auto" w:fill="AA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06F" w:rsidRPr="00C8206F" w:rsidRDefault="00C8206F" w:rsidP="004B3C7D">
            <w:pPr>
              <w:spacing w:after="0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>E – Economic</w:t>
            </w:r>
          </w:p>
        </w:tc>
        <w:tc>
          <w:tcPr>
            <w:tcW w:w="3600" w:type="dxa"/>
            <w:tcBorders>
              <w:top w:val="single" w:sz="8" w:space="0" w:color="EEEEEE"/>
              <w:left w:val="single" w:sz="8" w:space="0" w:color="EEEEEE"/>
              <w:bottom w:val="single" w:sz="24" w:space="0" w:color="EEEEEE"/>
              <w:right w:val="single" w:sz="8" w:space="0" w:color="EEEEEE"/>
            </w:tcBorders>
            <w:shd w:val="clear" w:color="auto" w:fill="AA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06F" w:rsidRPr="00C8206F" w:rsidRDefault="00C8206F" w:rsidP="004B3C7D">
            <w:pPr>
              <w:spacing w:after="0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>S – Social</w:t>
            </w:r>
          </w:p>
        </w:tc>
        <w:tc>
          <w:tcPr>
            <w:tcW w:w="3600" w:type="dxa"/>
            <w:tcBorders>
              <w:top w:val="single" w:sz="8" w:space="0" w:color="EEEEEE"/>
              <w:left w:val="single" w:sz="8" w:space="0" w:color="EEEEEE"/>
              <w:bottom w:val="single" w:sz="24" w:space="0" w:color="EEEEEE"/>
              <w:right w:val="single" w:sz="8" w:space="0" w:color="EEEEEE"/>
            </w:tcBorders>
            <w:shd w:val="clear" w:color="auto" w:fill="AA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06F" w:rsidRPr="00C8206F" w:rsidRDefault="00C8206F" w:rsidP="004B3C7D">
            <w:pPr>
              <w:spacing w:after="0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>P – Political</w:t>
            </w:r>
          </w:p>
        </w:tc>
        <w:tc>
          <w:tcPr>
            <w:tcW w:w="3600" w:type="dxa"/>
            <w:tcBorders>
              <w:top w:val="single" w:sz="8" w:space="0" w:color="EEEEEE"/>
              <w:left w:val="single" w:sz="8" w:space="0" w:color="EEEEEE"/>
              <w:bottom w:val="single" w:sz="24" w:space="0" w:color="EEEEEE"/>
              <w:right w:val="single" w:sz="8" w:space="0" w:color="EEEEEE"/>
            </w:tcBorders>
            <w:shd w:val="clear" w:color="auto" w:fill="AA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206F" w:rsidRPr="00C8206F" w:rsidRDefault="00C8206F" w:rsidP="004B3C7D">
            <w:pPr>
              <w:spacing w:after="0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 xml:space="preserve">N - </w:t>
            </w:r>
            <w:proofErr w:type="spellStart"/>
            <w:r w:rsidRPr="00C8206F">
              <w:rPr>
                <w:b/>
                <w:bCs/>
                <w:sz w:val="28"/>
                <w:szCs w:val="28"/>
              </w:rPr>
              <w:t>eNvironment</w:t>
            </w:r>
            <w:r w:rsidR="004B3C7D">
              <w:rPr>
                <w:b/>
                <w:bCs/>
                <w:sz w:val="28"/>
                <w:szCs w:val="28"/>
              </w:rPr>
              <w:t>al</w:t>
            </w:r>
            <w:proofErr w:type="spellEnd"/>
          </w:p>
        </w:tc>
      </w:tr>
      <w:tr w:rsidR="00C8206F" w:rsidRPr="00C8206F" w:rsidTr="004B3C7D">
        <w:trPr>
          <w:trHeight w:val="1605"/>
        </w:trPr>
        <w:tc>
          <w:tcPr>
            <w:tcW w:w="3600" w:type="dxa"/>
            <w:tcBorders>
              <w:top w:val="single" w:sz="24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E2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Money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Taxes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Business</w:t>
            </w:r>
          </w:p>
        </w:tc>
        <w:tc>
          <w:tcPr>
            <w:tcW w:w="3600" w:type="dxa"/>
            <w:tcBorders>
              <w:top w:val="single" w:sz="24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E2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Lifestyle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People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Culture</w:t>
            </w:r>
          </w:p>
        </w:tc>
        <w:tc>
          <w:tcPr>
            <w:tcW w:w="3600" w:type="dxa"/>
            <w:tcBorders>
              <w:top w:val="single" w:sz="24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E2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Government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Laws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Military</w:t>
            </w:r>
          </w:p>
        </w:tc>
        <w:tc>
          <w:tcPr>
            <w:tcW w:w="3600" w:type="dxa"/>
            <w:tcBorders>
              <w:top w:val="single" w:sz="24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E2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Surroundings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Landforms</w:t>
            </w:r>
          </w:p>
          <w:p w:rsidR="00C8206F" w:rsidRPr="00C8206F" w:rsidRDefault="00C8206F" w:rsidP="00C8206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206F">
              <w:rPr>
                <w:sz w:val="28"/>
                <w:szCs w:val="28"/>
              </w:rPr>
              <w:t>Human Characteristics</w:t>
            </w:r>
          </w:p>
        </w:tc>
      </w:tr>
    </w:tbl>
    <w:p w:rsidR="00C8206F" w:rsidRDefault="00C8206F" w:rsidP="00C8206F">
      <w:pPr>
        <w:spacing w:after="0"/>
      </w:pPr>
      <w:r w:rsidRPr="004B3C7D">
        <w:rPr>
          <w:b/>
          <w:u w:val="single"/>
        </w:rPr>
        <w:t>Directions</w:t>
      </w:r>
      <w:r>
        <w:t>: Read the article about Houston as the first capital of Texas.  Using information from the reading</w:t>
      </w:r>
      <w:r w:rsidR="004B3C7D">
        <w:t>,</w:t>
      </w:r>
      <w:r>
        <w:t xml:space="preserve"> create an ESPN chart about Houston during this time period.  Use the template to help you differentiate between the categories.</w:t>
      </w:r>
    </w:p>
    <w:p w:rsidR="00C8206F" w:rsidRDefault="00C8206F" w:rsidP="00C8206F">
      <w:pPr>
        <w:spacing w:after="0"/>
      </w:pPr>
    </w:p>
    <w:p w:rsidR="00C8206F" w:rsidRDefault="00C8206F" w:rsidP="00C8206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8206F" w:rsidTr="004B3C7D">
        <w:trPr>
          <w:trHeight w:val="432"/>
        </w:trPr>
        <w:tc>
          <w:tcPr>
            <w:tcW w:w="3597" w:type="dxa"/>
            <w:shd w:val="clear" w:color="auto" w:fill="BFBFBF" w:themeFill="background1" w:themeFillShade="BF"/>
            <w:vAlign w:val="center"/>
          </w:tcPr>
          <w:p w:rsidR="00C8206F" w:rsidRPr="00C8206F" w:rsidRDefault="00C8206F" w:rsidP="004B3C7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>E – Economic</w:t>
            </w:r>
          </w:p>
        </w:tc>
        <w:tc>
          <w:tcPr>
            <w:tcW w:w="3597" w:type="dxa"/>
            <w:shd w:val="clear" w:color="auto" w:fill="BFBFBF" w:themeFill="background1" w:themeFillShade="BF"/>
            <w:vAlign w:val="center"/>
          </w:tcPr>
          <w:p w:rsidR="00C8206F" w:rsidRPr="00C8206F" w:rsidRDefault="00C8206F" w:rsidP="004B3C7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>S – Social</w:t>
            </w:r>
          </w:p>
        </w:tc>
        <w:tc>
          <w:tcPr>
            <w:tcW w:w="3598" w:type="dxa"/>
            <w:shd w:val="clear" w:color="auto" w:fill="BFBFBF" w:themeFill="background1" w:themeFillShade="BF"/>
            <w:vAlign w:val="center"/>
          </w:tcPr>
          <w:p w:rsidR="00C8206F" w:rsidRPr="00C8206F" w:rsidRDefault="00C8206F" w:rsidP="004B3C7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>P – Political</w:t>
            </w:r>
          </w:p>
        </w:tc>
        <w:tc>
          <w:tcPr>
            <w:tcW w:w="3598" w:type="dxa"/>
            <w:shd w:val="clear" w:color="auto" w:fill="BFBFBF" w:themeFill="background1" w:themeFillShade="BF"/>
            <w:vAlign w:val="center"/>
          </w:tcPr>
          <w:p w:rsidR="00C8206F" w:rsidRPr="00C8206F" w:rsidRDefault="00C8206F" w:rsidP="004B3C7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8206F">
              <w:rPr>
                <w:b/>
                <w:bCs/>
                <w:sz w:val="28"/>
                <w:szCs w:val="28"/>
              </w:rPr>
              <w:t xml:space="preserve">N - </w:t>
            </w:r>
            <w:proofErr w:type="spellStart"/>
            <w:r w:rsidRPr="00C8206F">
              <w:rPr>
                <w:b/>
                <w:bCs/>
                <w:sz w:val="28"/>
                <w:szCs w:val="28"/>
              </w:rPr>
              <w:t>eNvironment</w:t>
            </w:r>
            <w:r w:rsidR="004B3C7D">
              <w:rPr>
                <w:b/>
                <w:bCs/>
                <w:sz w:val="28"/>
                <w:szCs w:val="28"/>
              </w:rPr>
              <w:t>al</w:t>
            </w:r>
            <w:proofErr w:type="spellEnd"/>
          </w:p>
        </w:tc>
      </w:tr>
      <w:tr w:rsidR="00C8206F" w:rsidTr="00C8206F">
        <w:tc>
          <w:tcPr>
            <w:tcW w:w="3597" w:type="dxa"/>
          </w:tcPr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  <w:p w:rsidR="00C8206F" w:rsidRDefault="00C8206F" w:rsidP="00C8206F"/>
        </w:tc>
        <w:tc>
          <w:tcPr>
            <w:tcW w:w="3597" w:type="dxa"/>
          </w:tcPr>
          <w:p w:rsidR="00C8206F" w:rsidRDefault="00C8206F" w:rsidP="00C8206F"/>
        </w:tc>
        <w:tc>
          <w:tcPr>
            <w:tcW w:w="3598" w:type="dxa"/>
          </w:tcPr>
          <w:p w:rsidR="00C8206F" w:rsidRDefault="00C8206F" w:rsidP="00C8206F"/>
        </w:tc>
        <w:tc>
          <w:tcPr>
            <w:tcW w:w="3598" w:type="dxa"/>
          </w:tcPr>
          <w:p w:rsidR="00C8206F" w:rsidRDefault="00C8206F" w:rsidP="00C8206F"/>
        </w:tc>
      </w:tr>
    </w:tbl>
    <w:p w:rsidR="00C8206F" w:rsidRDefault="00C8206F" w:rsidP="00C8206F">
      <w:pPr>
        <w:spacing w:after="0"/>
      </w:pPr>
    </w:p>
    <w:sectPr w:rsidR="00C8206F" w:rsidSect="00C820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B4600"/>
    <w:multiLevelType w:val="hybridMultilevel"/>
    <w:tmpl w:val="78746C68"/>
    <w:lvl w:ilvl="0" w:tplc="67602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5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43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2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E0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66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7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C6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F"/>
    <w:rsid w:val="004B3C7D"/>
    <w:rsid w:val="008B6A20"/>
    <w:rsid w:val="00C16BA0"/>
    <w:rsid w:val="00C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7D21F-4DBE-4C51-9FD6-94B66F7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2015-01-22T13:21:00Z</dcterms:created>
  <dcterms:modified xsi:type="dcterms:W3CDTF">2015-01-22T13:43:00Z</dcterms:modified>
</cp:coreProperties>
</file>